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672D4"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 Повідомлення (Повідомлення про інформацію)</w:t>
      </w:r>
    </w:p>
    <w:p w14:paraId="48FFF1E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14:paraId="3F9F9D48" w14:textId="77777777">
        <w:tblPrEx>
          <w:tblCellMar>
            <w:top w:w="0" w:type="dxa"/>
            <w:bottom w:w="0" w:type="dxa"/>
          </w:tblCellMar>
        </w:tblPrEx>
        <w:trPr>
          <w:trHeight w:val="300"/>
        </w:trPr>
        <w:tc>
          <w:tcPr>
            <w:tcW w:w="5500" w:type="dxa"/>
            <w:tcBorders>
              <w:top w:val="nil"/>
              <w:left w:val="nil"/>
              <w:bottom w:val="single" w:sz="6" w:space="0" w:color="auto"/>
              <w:right w:val="nil"/>
            </w:tcBorders>
            <w:vAlign w:val="bottom"/>
          </w:tcPr>
          <w:p w14:paraId="1DF0F2C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29.12.2022</w:t>
            </w:r>
          </w:p>
        </w:tc>
      </w:tr>
      <w:tr w:rsidR="00000000" w14:paraId="618A3794" w14:textId="77777777">
        <w:tblPrEx>
          <w:tblCellMar>
            <w:top w:w="0" w:type="dxa"/>
            <w:bottom w:w="0" w:type="dxa"/>
          </w:tblCellMar>
        </w:tblPrEx>
        <w:trPr>
          <w:trHeight w:val="300"/>
        </w:trPr>
        <w:tc>
          <w:tcPr>
            <w:tcW w:w="5500" w:type="dxa"/>
            <w:tcBorders>
              <w:top w:val="nil"/>
              <w:left w:val="nil"/>
              <w:bottom w:val="nil"/>
              <w:right w:val="nil"/>
            </w:tcBorders>
            <w:vAlign w:val="bottom"/>
          </w:tcPr>
          <w:p w14:paraId="6961A1D4"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14:paraId="52FF265E" w14:textId="77777777">
        <w:tblPrEx>
          <w:tblCellMar>
            <w:top w:w="0" w:type="dxa"/>
            <w:bottom w:w="0" w:type="dxa"/>
          </w:tblCellMar>
        </w:tblPrEx>
        <w:trPr>
          <w:trHeight w:val="300"/>
        </w:trPr>
        <w:tc>
          <w:tcPr>
            <w:tcW w:w="5500" w:type="dxa"/>
            <w:tcBorders>
              <w:top w:val="nil"/>
              <w:left w:val="nil"/>
              <w:bottom w:val="single" w:sz="6" w:space="0" w:color="auto"/>
              <w:right w:val="nil"/>
            </w:tcBorders>
            <w:vAlign w:val="bottom"/>
          </w:tcPr>
          <w:p w14:paraId="0E830262"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32</w:t>
            </w:r>
          </w:p>
        </w:tc>
      </w:tr>
      <w:tr w:rsidR="00000000" w14:paraId="58A17005" w14:textId="77777777">
        <w:tblPrEx>
          <w:tblCellMar>
            <w:top w:w="0" w:type="dxa"/>
            <w:bottom w:w="0" w:type="dxa"/>
          </w:tblCellMar>
        </w:tblPrEx>
        <w:trPr>
          <w:trHeight w:val="300"/>
        </w:trPr>
        <w:tc>
          <w:tcPr>
            <w:tcW w:w="5500" w:type="dxa"/>
            <w:tcBorders>
              <w:top w:val="nil"/>
              <w:left w:val="nil"/>
              <w:bottom w:val="nil"/>
              <w:right w:val="nil"/>
            </w:tcBorders>
            <w:vAlign w:val="bottom"/>
          </w:tcPr>
          <w:p w14:paraId="216FC9E7"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44534622"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580"/>
      </w:tblGrid>
      <w:tr w:rsidR="00000000" w14:paraId="7604F8EA" w14:textId="77777777">
        <w:tblPrEx>
          <w:tblCellMar>
            <w:top w:w="0" w:type="dxa"/>
            <w:bottom w:w="0" w:type="dxa"/>
          </w:tblCellMar>
        </w:tblPrEx>
        <w:trPr>
          <w:trHeight w:val="300"/>
        </w:trPr>
        <w:tc>
          <w:tcPr>
            <w:tcW w:w="10580" w:type="dxa"/>
            <w:tcBorders>
              <w:top w:val="nil"/>
              <w:left w:val="nil"/>
              <w:bottom w:val="nil"/>
              <w:right w:val="nil"/>
            </w:tcBorders>
            <w:vAlign w:val="bottom"/>
          </w:tcPr>
          <w:p w14:paraId="49B669C8"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37CE325A"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654"/>
      </w:tblGrid>
      <w:tr w:rsidR="00000000" w14:paraId="01CE8404" w14:textId="77777777">
        <w:tblPrEx>
          <w:tblCellMar>
            <w:top w:w="0" w:type="dxa"/>
            <w:bottom w:w="0" w:type="dxa"/>
          </w:tblCellMar>
        </w:tblPrEx>
        <w:trPr>
          <w:trHeight w:val="200"/>
        </w:trPr>
        <w:tc>
          <w:tcPr>
            <w:tcW w:w="4140" w:type="dxa"/>
            <w:tcBorders>
              <w:top w:val="nil"/>
              <w:left w:val="nil"/>
              <w:bottom w:val="single" w:sz="6" w:space="0" w:color="auto"/>
              <w:right w:val="nil"/>
            </w:tcBorders>
            <w:vAlign w:val="bottom"/>
          </w:tcPr>
          <w:p w14:paraId="7C6E7E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Т.в.о. Генерального директора</w:t>
            </w:r>
          </w:p>
        </w:tc>
        <w:tc>
          <w:tcPr>
            <w:tcW w:w="216" w:type="dxa"/>
            <w:tcBorders>
              <w:top w:val="nil"/>
              <w:left w:val="nil"/>
              <w:bottom w:val="nil"/>
              <w:right w:val="nil"/>
            </w:tcBorders>
          </w:tcPr>
          <w:p w14:paraId="35FB1CC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14:paraId="7D8CDC4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1FEBA10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14:paraId="2D8C7E1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Перелома Сергій Віталійович</w:t>
            </w:r>
          </w:p>
        </w:tc>
      </w:tr>
      <w:tr w:rsidR="00000000" w14:paraId="5859C7FF" w14:textId="77777777">
        <w:tblPrEx>
          <w:tblCellMar>
            <w:top w:w="0" w:type="dxa"/>
            <w:bottom w:w="0" w:type="dxa"/>
          </w:tblCellMar>
        </w:tblPrEx>
        <w:trPr>
          <w:trHeight w:val="200"/>
        </w:trPr>
        <w:tc>
          <w:tcPr>
            <w:tcW w:w="4140" w:type="dxa"/>
            <w:tcBorders>
              <w:top w:val="nil"/>
              <w:left w:val="nil"/>
              <w:bottom w:val="nil"/>
              <w:right w:val="nil"/>
            </w:tcBorders>
          </w:tcPr>
          <w:p w14:paraId="6AAB356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452C10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14:paraId="4670A19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14:paraId="69F3A95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14:paraId="43B3809C"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14:paraId="075A6DFD"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p w14:paraId="333A290D"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(інформація про іпотечні цінні папери, сертифікати фонду операцій з нерухомістю) емітента</w:t>
      </w:r>
    </w:p>
    <w:p w14:paraId="59459CA8" w14:textId="77777777" w:rsidR="00000000" w:rsidRDefault="00000000">
      <w:pPr>
        <w:widowControl w:val="0"/>
        <w:autoSpaceDE w:val="0"/>
        <w:autoSpaceDN w:val="0"/>
        <w:adjustRightInd w:val="0"/>
        <w:spacing w:after="0" w:line="240" w:lineRule="auto"/>
        <w:rPr>
          <w:rFonts w:ascii="Times New Roman CYR" w:hAnsi="Times New Roman CYR" w:cs="Times New Roman CYR"/>
          <w:b/>
          <w:bCs/>
          <w:sz w:val="28"/>
          <w:szCs w:val="28"/>
        </w:rPr>
      </w:pPr>
    </w:p>
    <w:p w14:paraId="5E97B711"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14:paraId="7D56DF70"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14:paraId="08C6CAD8" w14:textId="77777777" w:rsidR="00000000" w:rsidRDefault="0000000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Акцiонерне товариство "Укртрансгаз"</w:t>
      </w:r>
    </w:p>
    <w:p w14:paraId="4D607D63"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14:paraId="09B70C4B"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Акціонерне товариство</w:t>
      </w:r>
    </w:p>
    <w:p w14:paraId="4E5F5E1B"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14:paraId="3BAA08E0" w14:textId="37102531"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01021, м.Київ, Кловський узвiз, 9/1</w:t>
      </w:r>
    </w:p>
    <w:p w14:paraId="052355C4"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14:paraId="379DF242"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30019801</w:t>
      </w:r>
    </w:p>
    <w:p w14:paraId="41638E57"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14:paraId="23587A92"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(044)461-28-23 , (044)461-20-95</w:t>
      </w:r>
    </w:p>
    <w:p w14:paraId="1462FA26"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14:paraId="342345B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varetca-in@utg.ua</w:t>
      </w:r>
    </w:p>
    <w:p w14:paraId="48375DD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проводить діяльність з оприлюднення регульованої інформації від імені учасника фондового ринку (у разі здійснення оприлюднення):</w:t>
      </w:r>
    </w:p>
    <w:p w14:paraId="0F18F14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Україна, DR/00001/APA</w:t>
      </w:r>
    </w:p>
    <w:p w14:paraId="4AEE0724"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p w14:paraId="2894C6B2"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Україна, DR/00002/ARM</w:t>
      </w:r>
    </w:p>
    <w:p w14:paraId="6E97739A"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p>
    <w:p w14:paraId="433ACC1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14:paraId="41B44C9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2000"/>
      </w:tblGrid>
      <w:tr w:rsidR="00000000" w14:paraId="2293E5BB" w14:textId="77777777">
        <w:tblPrEx>
          <w:tblCellMar>
            <w:top w:w="0" w:type="dxa"/>
            <w:bottom w:w="0" w:type="dxa"/>
          </w:tblCellMar>
        </w:tblPrEx>
        <w:trPr>
          <w:trHeight w:val="300"/>
        </w:trPr>
        <w:tc>
          <w:tcPr>
            <w:tcW w:w="4450" w:type="dxa"/>
            <w:vMerge w:val="restart"/>
            <w:tcBorders>
              <w:top w:val="nil"/>
              <w:left w:val="nil"/>
              <w:bottom w:val="nil"/>
              <w:right w:val="nil"/>
            </w:tcBorders>
          </w:tcPr>
          <w:p w14:paraId="3CEC476E" w14:textId="77777777" w:rsidR="00000000" w:rsidRDefault="0000000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14:paraId="4F7D0E5E"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http://utg.ua/img/menu/company/docs</w:t>
            </w:r>
          </w:p>
        </w:tc>
        <w:tc>
          <w:tcPr>
            <w:tcW w:w="2000" w:type="dxa"/>
            <w:tcBorders>
              <w:top w:val="nil"/>
              <w:left w:val="nil"/>
              <w:bottom w:val="single" w:sz="6" w:space="0" w:color="auto"/>
              <w:right w:val="nil"/>
            </w:tcBorders>
            <w:vAlign w:val="bottom"/>
          </w:tcPr>
          <w:p w14:paraId="0B9D09F6"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29.12.2022</w:t>
            </w:r>
          </w:p>
        </w:tc>
      </w:tr>
      <w:tr w:rsidR="00000000" w14:paraId="3A422645" w14:textId="77777777">
        <w:tblPrEx>
          <w:tblCellMar>
            <w:top w:w="0" w:type="dxa"/>
            <w:bottom w:w="0" w:type="dxa"/>
          </w:tblCellMar>
        </w:tblPrEx>
        <w:trPr>
          <w:trHeight w:val="300"/>
        </w:trPr>
        <w:tc>
          <w:tcPr>
            <w:tcW w:w="4450" w:type="dxa"/>
            <w:vMerge/>
            <w:tcBorders>
              <w:top w:val="nil"/>
              <w:left w:val="nil"/>
              <w:bottom w:val="nil"/>
              <w:right w:val="nil"/>
            </w:tcBorders>
          </w:tcPr>
          <w:p w14:paraId="1EE0F5BA"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14:paraId="373F9C4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000" w:type="dxa"/>
            <w:tcBorders>
              <w:top w:val="nil"/>
              <w:left w:val="nil"/>
              <w:bottom w:val="nil"/>
              <w:right w:val="nil"/>
            </w:tcBorders>
            <w:vAlign w:val="bottom"/>
          </w:tcPr>
          <w:p w14:paraId="1E5B93C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14:paraId="16C2F624" w14:textId="77777777" w:rsidR="00000000" w:rsidRDefault="00000000">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850" w:header="708" w:footer="708" w:gutter="0"/>
          <w:cols w:space="720"/>
          <w:noEndnote/>
        </w:sectPr>
      </w:pPr>
    </w:p>
    <w:p w14:paraId="50698B15"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прийняття рішення про надання згоди на вчинення значних правочинів</w:t>
      </w:r>
    </w:p>
    <w:p w14:paraId="7C0993D2" w14:textId="77777777" w:rsidR="00000000" w:rsidRDefault="00000000" w:rsidP="006A3F4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000000" w14:paraId="41985B3E"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14:paraId="1678CE69"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33935402"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360A9D9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Ринкова вартість майна або послуг, що є предметом правочину (тис.грн)</w:t>
            </w:r>
          </w:p>
        </w:tc>
        <w:tc>
          <w:tcPr>
            <w:tcW w:w="2000" w:type="dxa"/>
            <w:tcBorders>
              <w:top w:val="single" w:sz="6" w:space="0" w:color="auto"/>
              <w:left w:val="single" w:sz="6" w:space="0" w:color="auto"/>
              <w:bottom w:val="single" w:sz="6" w:space="0" w:color="auto"/>
              <w:right w:val="single" w:sz="6" w:space="0" w:color="auto"/>
            </w:tcBorders>
            <w:vAlign w:val="center"/>
          </w:tcPr>
          <w:p w14:paraId="504D04B8"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Вартість активів емітента за даними останньої річної фінансової звітності (тис.грн)</w:t>
            </w:r>
          </w:p>
        </w:tc>
        <w:tc>
          <w:tcPr>
            <w:tcW w:w="2000" w:type="dxa"/>
            <w:tcBorders>
              <w:top w:val="single" w:sz="6" w:space="0" w:color="auto"/>
              <w:left w:val="single" w:sz="6" w:space="0" w:color="auto"/>
              <w:bottom w:val="single" w:sz="6" w:space="0" w:color="auto"/>
              <w:right w:val="single" w:sz="6" w:space="0" w:color="auto"/>
            </w:tcBorders>
            <w:vAlign w:val="center"/>
          </w:tcPr>
          <w:p w14:paraId="35BAF6A3"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6094A55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URL-адреса сторінки власного веб-сайту, на якій розміщений витяг з протоколу загальних зборів акціонерів / засідання наглядової ради, на яких/якому прийняте рішення</w:t>
            </w:r>
          </w:p>
        </w:tc>
      </w:tr>
      <w:tr w:rsidR="00000000" w14:paraId="0C1BF96C"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14:paraId="0CF1226F"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19C2A5B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900" w:type="dxa"/>
            <w:tcBorders>
              <w:top w:val="single" w:sz="6" w:space="0" w:color="auto"/>
              <w:left w:val="single" w:sz="6" w:space="0" w:color="auto"/>
              <w:bottom w:val="single" w:sz="6" w:space="0" w:color="auto"/>
              <w:right w:val="single" w:sz="6" w:space="0" w:color="auto"/>
            </w:tcBorders>
            <w:vAlign w:val="center"/>
          </w:tcPr>
          <w:p w14:paraId="5B5B0E9A"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4F4C1697"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350B873B"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tcBorders>
            <w:vAlign w:val="center"/>
          </w:tcPr>
          <w:p w14:paraId="164FBD40" w14:textId="77777777" w:rsidR="00000000" w:rsidRDefault="0000000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14:paraId="566231A8" w14:textId="77777777" w:rsidTr="002D4BCD">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14:paraId="283C6E6A" w14:textId="77777777" w:rsidR="00000000" w:rsidRPr="00DC733B" w:rsidRDefault="00000000"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sidRPr="00DC733B">
              <w:rPr>
                <w:rFonts w:ascii="Times New Roman CYR" w:hAnsi="Times New Roman CYR" w:cs="Times New Roman CYR"/>
                <w:sz w:val="24"/>
                <w:szCs w:val="24"/>
              </w:rPr>
              <w:t>1</w:t>
            </w:r>
          </w:p>
        </w:tc>
        <w:tc>
          <w:tcPr>
            <w:tcW w:w="1800" w:type="dxa"/>
            <w:tcBorders>
              <w:top w:val="single" w:sz="6" w:space="0" w:color="auto"/>
              <w:left w:val="single" w:sz="6" w:space="0" w:color="auto"/>
              <w:bottom w:val="single" w:sz="6" w:space="0" w:color="auto"/>
              <w:right w:val="single" w:sz="6" w:space="0" w:color="auto"/>
            </w:tcBorders>
            <w:vAlign w:val="center"/>
          </w:tcPr>
          <w:p w14:paraId="3164AB9B" w14:textId="23E10C9E" w:rsidR="00000000" w:rsidRPr="00DC733B" w:rsidRDefault="00000000"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sidRPr="00DC733B">
              <w:rPr>
                <w:rFonts w:ascii="Times New Roman CYR" w:hAnsi="Times New Roman CYR" w:cs="Times New Roman CYR"/>
                <w:sz w:val="24"/>
                <w:szCs w:val="24"/>
              </w:rPr>
              <w:t>2</w:t>
            </w:r>
            <w:r w:rsidR="00727D5F" w:rsidRPr="00DC733B">
              <w:rPr>
                <w:rFonts w:ascii="Times New Roman CYR" w:hAnsi="Times New Roman CYR" w:cs="Times New Roman CYR"/>
                <w:sz w:val="24"/>
                <w:szCs w:val="24"/>
              </w:rPr>
              <w:t>9</w:t>
            </w:r>
            <w:r w:rsidRPr="00DC733B">
              <w:rPr>
                <w:rFonts w:ascii="Times New Roman CYR" w:hAnsi="Times New Roman CYR" w:cs="Times New Roman CYR"/>
                <w:sz w:val="24"/>
                <w:szCs w:val="24"/>
              </w:rPr>
              <w:t>.12.2022</w:t>
            </w:r>
          </w:p>
        </w:tc>
        <w:tc>
          <w:tcPr>
            <w:tcW w:w="1900" w:type="dxa"/>
            <w:tcBorders>
              <w:top w:val="single" w:sz="6" w:space="0" w:color="auto"/>
              <w:left w:val="single" w:sz="6" w:space="0" w:color="auto"/>
              <w:bottom w:val="single" w:sz="6" w:space="0" w:color="auto"/>
              <w:right w:val="single" w:sz="6" w:space="0" w:color="auto"/>
            </w:tcBorders>
            <w:vAlign w:val="center"/>
          </w:tcPr>
          <w:p w14:paraId="7E181DA4" w14:textId="2C68442E" w:rsidR="00000000" w:rsidRPr="00DC733B" w:rsidRDefault="00000000"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sidRPr="00DC733B">
              <w:rPr>
                <w:rFonts w:ascii="Times New Roman CYR" w:hAnsi="Times New Roman CYR" w:cs="Times New Roman CYR"/>
                <w:sz w:val="24"/>
                <w:szCs w:val="24"/>
              </w:rPr>
              <w:t>30 000</w:t>
            </w:r>
            <w:r w:rsidR="00253012" w:rsidRPr="00DC733B">
              <w:rPr>
                <w:rFonts w:ascii="Times New Roman CYR" w:hAnsi="Times New Roman CYR" w:cs="Times New Roman CYR"/>
                <w:sz w:val="24"/>
                <w:szCs w:val="24"/>
              </w:rPr>
              <w:t> </w:t>
            </w:r>
            <w:r w:rsidRPr="00DC733B">
              <w:rPr>
                <w:rFonts w:ascii="Times New Roman CYR" w:hAnsi="Times New Roman CYR" w:cs="Times New Roman CYR"/>
                <w:sz w:val="24"/>
                <w:szCs w:val="24"/>
              </w:rPr>
              <w:t>000</w:t>
            </w:r>
          </w:p>
        </w:tc>
        <w:tc>
          <w:tcPr>
            <w:tcW w:w="2000" w:type="dxa"/>
            <w:tcBorders>
              <w:top w:val="single" w:sz="6" w:space="0" w:color="auto"/>
              <w:left w:val="single" w:sz="6" w:space="0" w:color="auto"/>
              <w:bottom w:val="single" w:sz="6" w:space="0" w:color="auto"/>
              <w:right w:val="single" w:sz="6" w:space="0" w:color="auto"/>
            </w:tcBorders>
            <w:vAlign w:val="center"/>
          </w:tcPr>
          <w:p w14:paraId="7E360F97" w14:textId="370C54BB" w:rsidR="00000000" w:rsidRPr="00DC733B" w:rsidRDefault="00000000"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sidRPr="00DC733B">
              <w:rPr>
                <w:rFonts w:ascii="Times New Roman CYR" w:hAnsi="Times New Roman CYR" w:cs="Times New Roman CYR"/>
                <w:sz w:val="24"/>
                <w:szCs w:val="24"/>
              </w:rPr>
              <w:t>112 200</w:t>
            </w:r>
            <w:r w:rsidR="00253012" w:rsidRPr="00DC733B">
              <w:rPr>
                <w:rFonts w:ascii="Times New Roman CYR" w:hAnsi="Times New Roman CYR" w:cs="Times New Roman CYR"/>
                <w:sz w:val="24"/>
                <w:szCs w:val="24"/>
              </w:rPr>
              <w:t> </w:t>
            </w:r>
            <w:r w:rsidRPr="00DC733B">
              <w:rPr>
                <w:rFonts w:ascii="Times New Roman CYR" w:hAnsi="Times New Roman CYR" w:cs="Times New Roman CYR"/>
                <w:sz w:val="24"/>
                <w:szCs w:val="24"/>
              </w:rPr>
              <w:t>148</w:t>
            </w:r>
          </w:p>
        </w:tc>
        <w:tc>
          <w:tcPr>
            <w:tcW w:w="2000" w:type="dxa"/>
            <w:tcBorders>
              <w:top w:val="single" w:sz="6" w:space="0" w:color="auto"/>
              <w:left w:val="single" w:sz="6" w:space="0" w:color="auto"/>
              <w:bottom w:val="single" w:sz="6" w:space="0" w:color="auto"/>
              <w:right w:val="single" w:sz="6" w:space="0" w:color="auto"/>
            </w:tcBorders>
            <w:vAlign w:val="center"/>
          </w:tcPr>
          <w:p w14:paraId="7B010D29" w14:textId="1442727C" w:rsidR="00000000" w:rsidRPr="00DC733B" w:rsidRDefault="00D57F7F"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26,7</w:t>
            </w:r>
          </w:p>
        </w:tc>
        <w:tc>
          <w:tcPr>
            <w:tcW w:w="2000" w:type="dxa"/>
            <w:tcBorders>
              <w:top w:val="single" w:sz="6" w:space="0" w:color="auto"/>
              <w:left w:val="single" w:sz="6" w:space="0" w:color="auto"/>
              <w:bottom w:val="single" w:sz="6" w:space="0" w:color="auto"/>
            </w:tcBorders>
            <w:vAlign w:val="center"/>
          </w:tcPr>
          <w:p w14:paraId="7262E117" w14:textId="77777777" w:rsidR="00000000" w:rsidRPr="00DC733B" w:rsidRDefault="00000000" w:rsidP="002D4BCD">
            <w:pPr>
              <w:widowControl w:val="0"/>
              <w:autoSpaceDE w:val="0"/>
              <w:autoSpaceDN w:val="0"/>
              <w:adjustRightInd w:val="0"/>
              <w:spacing w:after="0" w:line="240" w:lineRule="auto"/>
              <w:jc w:val="center"/>
              <w:rPr>
                <w:rFonts w:ascii="Times New Roman CYR" w:hAnsi="Times New Roman CYR" w:cs="Times New Roman CYR"/>
                <w:sz w:val="24"/>
                <w:szCs w:val="24"/>
              </w:rPr>
            </w:pPr>
            <w:r w:rsidRPr="00DC733B">
              <w:rPr>
                <w:rFonts w:ascii="Times New Roman CYR" w:hAnsi="Times New Roman CYR" w:cs="Times New Roman CYR"/>
                <w:sz w:val="24"/>
                <w:szCs w:val="24"/>
              </w:rPr>
              <w:t>https://utg.ua/utg/about-company/docs/</w:t>
            </w:r>
          </w:p>
        </w:tc>
      </w:tr>
      <w:tr w:rsidR="00000000" w14:paraId="7C6FEBF5"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1017CF14" w14:textId="77777777" w:rsidR="00000000" w:rsidRDefault="00000000">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000000" w14:paraId="322C8B33"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4FFA55A2" w14:textId="0D26A5AC" w:rsidR="00DE713D" w:rsidRPr="008D48C9" w:rsidRDefault="00DE713D" w:rsidP="00B77B2C">
            <w:pPr>
              <w:widowControl w:val="0"/>
              <w:autoSpaceDE w:val="0"/>
              <w:autoSpaceDN w:val="0"/>
              <w:adjustRightInd w:val="0"/>
              <w:spacing w:before="40" w:after="40" w:line="240" w:lineRule="auto"/>
              <w:ind w:firstLine="384"/>
              <w:jc w:val="both"/>
              <w:rPr>
                <w:rFonts w:ascii="Times New Roman CYR" w:hAnsi="Times New Roman CYR" w:cs="Times New Roman CYR"/>
                <w:sz w:val="24"/>
                <w:szCs w:val="24"/>
              </w:rPr>
            </w:pPr>
            <w:r w:rsidRPr="008D48C9">
              <w:rPr>
                <w:rFonts w:ascii="Times New Roman CYR" w:hAnsi="Times New Roman CYR" w:cs="Times New Roman CYR"/>
                <w:sz w:val="24"/>
                <w:szCs w:val="24"/>
              </w:rPr>
              <w:t>Акцiонерне товариство "Укртрансгаз" (далi - Товариство) 29 грудня 2022 р. отримало вiд одноосiбного акцiонера Акцiонерного товариства "Нацiональна акцiонерна компанiя "Нафтогаз України" (далi - Компанiя) Рiшення акцiонера № 566 Акцiонерного товариства "Укртрансгаз" вiд 2</w:t>
            </w:r>
            <w:r w:rsidR="00727D5F" w:rsidRPr="008D48C9">
              <w:rPr>
                <w:rFonts w:ascii="Times New Roman CYR" w:hAnsi="Times New Roman CYR" w:cs="Times New Roman CYR"/>
                <w:sz w:val="24"/>
                <w:szCs w:val="24"/>
              </w:rPr>
              <w:t>9</w:t>
            </w:r>
            <w:r w:rsidRPr="008D48C9">
              <w:rPr>
                <w:rFonts w:ascii="Times New Roman CYR" w:hAnsi="Times New Roman CYR" w:cs="Times New Roman CYR"/>
                <w:sz w:val="24"/>
                <w:szCs w:val="24"/>
              </w:rPr>
              <w:t xml:space="preserve"> грудня 2022 року про вчинення Товариством правочину з Компанією, а саме укладення договору купівлі-продажу природного газу об'ємом 547 0</w:t>
            </w:r>
            <w:r w:rsidR="007C4A6E">
              <w:rPr>
                <w:rFonts w:ascii="Times New Roman CYR" w:hAnsi="Times New Roman CYR" w:cs="Times New Roman CYR"/>
                <w:sz w:val="24"/>
                <w:szCs w:val="24"/>
              </w:rPr>
              <w:t>0</w:t>
            </w:r>
            <w:r w:rsidRPr="008D48C9">
              <w:rPr>
                <w:rFonts w:ascii="Times New Roman CYR" w:hAnsi="Times New Roman CYR" w:cs="Times New Roman CYR"/>
                <w:sz w:val="24"/>
                <w:szCs w:val="24"/>
              </w:rPr>
              <w:t xml:space="preserve">0,000 тис. куб. м. та граничною вартістю до 30 млрд. грн. з ПДВ, що є значним правочином для Товариства. </w:t>
            </w:r>
          </w:p>
          <w:p w14:paraId="20F4565F" w14:textId="59DC32D2" w:rsidR="00D57F7F" w:rsidRPr="00D57F7F" w:rsidRDefault="00D57F7F" w:rsidP="00B77B2C">
            <w:pPr>
              <w:widowControl w:val="0"/>
              <w:autoSpaceDE w:val="0"/>
              <w:autoSpaceDN w:val="0"/>
              <w:adjustRightInd w:val="0"/>
              <w:spacing w:before="40" w:after="40" w:line="240" w:lineRule="auto"/>
              <w:ind w:firstLine="373"/>
              <w:jc w:val="both"/>
              <w:rPr>
                <w:rFonts w:ascii="Times New Roman CYR" w:hAnsi="Times New Roman CYR" w:cs="Times New Roman CYR"/>
                <w:sz w:val="24"/>
                <w:szCs w:val="24"/>
              </w:rPr>
            </w:pPr>
            <w:r w:rsidRPr="00D57F7F">
              <w:rPr>
                <w:rFonts w:ascii="Times New Roman CYR" w:hAnsi="Times New Roman CYR" w:cs="Times New Roman CYR"/>
                <w:sz w:val="24"/>
                <w:szCs w:val="24"/>
              </w:rPr>
              <w:t>Відповідно до статті 49 Закону України "Про акціонерні товариства"' та пункту 10.15 статуту Товариства Компанія одноосібно здійснює повноваження загальних зборів Товариства.</w:t>
            </w:r>
          </w:p>
          <w:p w14:paraId="58A24E21" w14:textId="77777777" w:rsidR="00D57F7F" w:rsidRPr="00D57F7F" w:rsidRDefault="00D57F7F" w:rsidP="00B77B2C">
            <w:pPr>
              <w:widowControl w:val="0"/>
              <w:autoSpaceDE w:val="0"/>
              <w:autoSpaceDN w:val="0"/>
              <w:adjustRightInd w:val="0"/>
              <w:spacing w:before="40" w:after="40" w:line="240" w:lineRule="auto"/>
              <w:ind w:firstLine="100"/>
              <w:jc w:val="both"/>
              <w:rPr>
                <w:rFonts w:ascii="Times New Roman CYR" w:hAnsi="Times New Roman CYR" w:cs="Times New Roman CYR"/>
                <w:sz w:val="24"/>
                <w:szCs w:val="24"/>
              </w:rPr>
            </w:pPr>
            <w:r w:rsidRPr="00D57F7F">
              <w:rPr>
                <w:rFonts w:ascii="Times New Roman CYR" w:hAnsi="Times New Roman CYR" w:cs="Times New Roman CYR"/>
                <w:sz w:val="24"/>
                <w:szCs w:val="24"/>
              </w:rPr>
              <w:t>Згідно з підпунктом 10.2.52 статуту Товариства до виключної компетенції загальних зборів акціонерів Товариства належить прийняття рішення про надання згоди па вчинення значного правочину або про попереднє надання згоди на вчинення такого правочину.</w:t>
            </w:r>
          </w:p>
          <w:p w14:paraId="7FE9448B" w14:textId="35E0E49D" w:rsidR="00D57F7F" w:rsidRDefault="00D57F7F" w:rsidP="00B77B2C">
            <w:pPr>
              <w:widowControl w:val="0"/>
              <w:autoSpaceDE w:val="0"/>
              <w:autoSpaceDN w:val="0"/>
              <w:adjustRightInd w:val="0"/>
              <w:spacing w:before="40" w:after="40" w:line="240" w:lineRule="auto"/>
              <w:ind w:firstLine="100"/>
              <w:jc w:val="both"/>
              <w:rPr>
                <w:rFonts w:ascii="Times New Roman CYR" w:hAnsi="Times New Roman CYR" w:cs="Times New Roman CYR"/>
                <w:sz w:val="24"/>
                <w:szCs w:val="24"/>
              </w:rPr>
            </w:pPr>
            <w:r w:rsidRPr="00D57F7F">
              <w:rPr>
                <w:rFonts w:ascii="Times New Roman CYR" w:hAnsi="Times New Roman CYR" w:cs="Times New Roman CYR"/>
                <w:sz w:val="24"/>
                <w:szCs w:val="24"/>
              </w:rPr>
              <w:t>Підпунктом 10.2.57 статуту Товариства передбачено, що до виключної компетенції загальних зборів належить прийняття рішення про укладення, зміну, припинення правочину за межами, передбаченими затвердженим загальними зборами фінансовим планом (бюджетом), на суму, що дорівнює або перевищує 200 000 000 (двісті мільйонів) грн. або еквівалент цієї суми у будь-якій іншій валюті, розрахований за курсом Національного банку України станом на 3 1 грудня року, що передує року вчинення відповідного правочину.</w:t>
            </w:r>
          </w:p>
          <w:p w14:paraId="4246D295" w14:textId="74F2AD90" w:rsidR="00DE713D" w:rsidRPr="008D48C9" w:rsidRDefault="004C31E5" w:rsidP="00B77B2C">
            <w:pPr>
              <w:widowControl w:val="0"/>
              <w:autoSpaceDE w:val="0"/>
              <w:autoSpaceDN w:val="0"/>
              <w:adjustRightInd w:val="0"/>
              <w:spacing w:before="40" w:after="40" w:line="240" w:lineRule="auto"/>
              <w:ind w:firstLine="100"/>
              <w:jc w:val="both"/>
              <w:rPr>
                <w:rFonts w:ascii="Times New Roman CYR" w:hAnsi="Times New Roman CYR" w:cs="Times New Roman CYR"/>
                <w:sz w:val="24"/>
                <w:szCs w:val="24"/>
              </w:rPr>
            </w:pPr>
            <w:r>
              <w:rPr>
                <w:rFonts w:ascii="Times New Roman CYR" w:hAnsi="Times New Roman CYR" w:cs="Times New Roman CYR"/>
                <w:sz w:val="24"/>
                <w:szCs w:val="24"/>
              </w:rPr>
              <w:t>П</w:t>
            </w:r>
            <w:r w:rsidR="00DE713D" w:rsidRPr="008D48C9">
              <w:rPr>
                <w:rFonts w:ascii="Times New Roman CYR" w:hAnsi="Times New Roman CYR" w:cs="Times New Roman CYR"/>
                <w:sz w:val="24"/>
                <w:szCs w:val="24"/>
              </w:rPr>
              <w:t>редмет правочину</w:t>
            </w:r>
            <w:r w:rsidR="00AC799C" w:rsidRPr="008D48C9">
              <w:rPr>
                <w:rFonts w:ascii="Times New Roman CYR" w:hAnsi="Times New Roman CYR" w:cs="Times New Roman CYR"/>
                <w:sz w:val="24"/>
                <w:szCs w:val="24"/>
              </w:rPr>
              <w:t xml:space="preserve"> </w:t>
            </w:r>
            <w:r w:rsidR="00AC799C" w:rsidRPr="008D48C9">
              <w:rPr>
                <w:rFonts w:ascii="Times New Roman CYR" w:hAnsi="Times New Roman CYR" w:cs="Times New Roman CYR"/>
                <w:sz w:val="24"/>
                <w:szCs w:val="24"/>
                <w:lang w:val="ru-RU"/>
              </w:rPr>
              <w:t xml:space="preserve">- </w:t>
            </w:r>
            <w:r w:rsidR="00DE713D" w:rsidRPr="008D48C9">
              <w:rPr>
                <w:rFonts w:ascii="Times New Roman CYR" w:hAnsi="Times New Roman CYR" w:cs="Times New Roman CYR"/>
                <w:sz w:val="24"/>
                <w:szCs w:val="24"/>
              </w:rPr>
              <w:t>купівля-продаж природного газу.</w:t>
            </w:r>
          </w:p>
          <w:p w14:paraId="3209726D" w14:textId="2FC6B50F" w:rsidR="00DE713D" w:rsidRPr="008D48C9" w:rsidRDefault="004C31E5" w:rsidP="00B77B2C">
            <w:pPr>
              <w:widowControl w:val="0"/>
              <w:autoSpaceDE w:val="0"/>
              <w:autoSpaceDN w:val="0"/>
              <w:adjustRightInd w:val="0"/>
              <w:spacing w:before="40" w:after="40" w:line="240" w:lineRule="auto"/>
              <w:ind w:firstLine="100"/>
              <w:jc w:val="both"/>
              <w:rPr>
                <w:rFonts w:ascii="Times New Roman CYR" w:hAnsi="Times New Roman CYR" w:cs="Times New Roman CYR"/>
                <w:sz w:val="24"/>
                <w:szCs w:val="24"/>
              </w:rPr>
            </w:pPr>
            <w:r>
              <w:rPr>
                <w:rFonts w:ascii="Times New Roman CYR" w:hAnsi="Times New Roman CYR" w:cs="Times New Roman CYR"/>
                <w:sz w:val="24"/>
                <w:szCs w:val="24"/>
              </w:rPr>
              <w:t>Р</w:t>
            </w:r>
            <w:r w:rsidR="00DE713D" w:rsidRPr="008D48C9">
              <w:rPr>
                <w:rFonts w:ascii="Times New Roman CYR" w:hAnsi="Times New Roman CYR" w:cs="Times New Roman CYR"/>
                <w:sz w:val="24"/>
                <w:szCs w:val="24"/>
              </w:rPr>
              <w:t>инкова вартість майна або послуг, що є предметом правочину, визначена відповідно до законодавства</w:t>
            </w:r>
            <w:r>
              <w:rPr>
                <w:rFonts w:ascii="Times New Roman CYR" w:hAnsi="Times New Roman CYR" w:cs="Times New Roman CYR"/>
                <w:sz w:val="24"/>
                <w:szCs w:val="24"/>
              </w:rPr>
              <w:t xml:space="preserve"> </w:t>
            </w:r>
            <w:r w:rsidR="00DE713D" w:rsidRPr="008D48C9">
              <w:rPr>
                <w:rFonts w:ascii="Times New Roman CYR" w:hAnsi="Times New Roman CYR" w:cs="Times New Roman CYR"/>
                <w:sz w:val="24"/>
                <w:szCs w:val="24"/>
              </w:rPr>
              <w:t>-</w:t>
            </w:r>
            <w:r>
              <w:rPr>
                <w:rFonts w:ascii="Times New Roman CYR" w:hAnsi="Times New Roman CYR" w:cs="Times New Roman CYR"/>
                <w:sz w:val="24"/>
                <w:szCs w:val="24"/>
              </w:rPr>
              <w:t xml:space="preserve"> </w:t>
            </w:r>
            <w:r w:rsidR="00DE713D" w:rsidRPr="008D48C9">
              <w:rPr>
                <w:rFonts w:ascii="Times New Roman CYR" w:hAnsi="Times New Roman CYR" w:cs="Times New Roman CYR"/>
                <w:sz w:val="24"/>
                <w:szCs w:val="24"/>
              </w:rPr>
              <w:t xml:space="preserve">гранична вартість до 30 </w:t>
            </w:r>
            <w:r w:rsidR="00620C12" w:rsidRPr="008D48C9">
              <w:rPr>
                <w:rFonts w:ascii="Times New Roman CYR" w:hAnsi="Times New Roman CYR" w:cs="Times New Roman CYR"/>
                <w:sz w:val="24"/>
                <w:szCs w:val="24"/>
              </w:rPr>
              <w:t>млрд</w:t>
            </w:r>
            <w:r w:rsidR="00DE713D" w:rsidRPr="008D48C9">
              <w:rPr>
                <w:rFonts w:ascii="Times New Roman CYR" w:hAnsi="Times New Roman CYR" w:cs="Times New Roman CYR"/>
                <w:sz w:val="24"/>
                <w:szCs w:val="24"/>
              </w:rPr>
              <w:t xml:space="preserve"> грн з ПДВ</w:t>
            </w:r>
            <w:r>
              <w:rPr>
                <w:rFonts w:ascii="Times New Roman CYR" w:hAnsi="Times New Roman CYR" w:cs="Times New Roman CYR"/>
                <w:sz w:val="24"/>
                <w:szCs w:val="24"/>
              </w:rPr>
              <w:t>.</w:t>
            </w:r>
          </w:p>
          <w:p w14:paraId="2F778056" w14:textId="52A21453" w:rsidR="00DE713D" w:rsidRPr="008D48C9" w:rsidRDefault="004C31E5" w:rsidP="00B77B2C">
            <w:pPr>
              <w:widowControl w:val="0"/>
              <w:autoSpaceDE w:val="0"/>
              <w:autoSpaceDN w:val="0"/>
              <w:adjustRightInd w:val="0"/>
              <w:spacing w:before="40" w:after="40" w:line="240" w:lineRule="auto"/>
              <w:ind w:firstLine="100"/>
              <w:jc w:val="both"/>
              <w:rPr>
                <w:rFonts w:ascii="Times New Roman CYR" w:hAnsi="Times New Roman CYR" w:cs="Times New Roman CYR"/>
                <w:sz w:val="24"/>
                <w:szCs w:val="24"/>
              </w:rPr>
            </w:pPr>
            <w:r>
              <w:rPr>
                <w:rFonts w:ascii="Times New Roman CYR" w:hAnsi="Times New Roman CYR" w:cs="Times New Roman CYR"/>
                <w:sz w:val="24"/>
                <w:szCs w:val="24"/>
              </w:rPr>
              <w:t>В</w:t>
            </w:r>
            <w:r w:rsidR="00DE713D" w:rsidRPr="008D48C9">
              <w:rPr>
                <w:rFonts w:ascii="Times New Roman CYR" w:hAnsi="Times New Roman CYR" w:cs="Times New Roman CYR"/>
                <w:sz w:val="24"/>
                <w:szCs w:val="24"/>
              </w:rPr>
              <w:t>артість активів емітента за даними останньої річної фінансової звітності -112 200 148,00 тис. грн</w:t>
            </w:r>
          </w:p>
          <w:p w14:paraId="16833AB0" w14:textId="54E14465" w:rsidR="00DE713D" w:rsidRPr="008D48C9" w:rsidRDefault="004C31E5" w:rsidP="00B77B2C">
            <w:pPr>
              <w:widowControl w:val="0"/>
              <w:autoSpaceDE w:val="0"/>
              <w:autoSpaceDN w:val="0"/>
              <w:adjustRightInd w:val="0"/>
              <w:spacing w:before="40" w:after="40" w:line="240" w:lineRule="auto"/>
              <w:ind w:firstLine="384"/>
              <w:jc w:val="both"/>
              <w:rPr>
                <w:rFonts w:ascii="Times New Roman CYR" w:hAnsi="Times New Roman CYR" w:cs="Times New Roman CYR"/>
                <w:sz w:val="24"/>
                <w:szCs w:val="24"/>
              </w:rPr>
            </w:pPr>
            <w:r>
              <w:rPr>
                <w:rFonts w:ascii="Times New Roman CYR" w:hAnsi="Times New Roman CYR" w:cs="Times New Roman CYR"/>
                <w:sz w:val="24"/>
                <w:szCs w:val="24"/>
              </w:rPr>
              <w:t>С</w:t>
            </w:r>
            <w:r w:rsidR="00DE713D" w:rsidRPr="008D48C9">
              <w:rPr>
                <w:rFonts w:ascii="Times New Roman CYR" w:hAnsi="Times New Roman CYR" w:cs="Times New Roman CYR"/>
                <w:sz w:val="24"/>
                <w:szCs w:val="24"/>
              </w:rPr>
              <w:t>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r>
              <w:rPr>
                <w:rFonts w:ascii="Times New Roman CYR" w:hAnsi="Times New Roman CYR" w:cs="Times New Roman CYR"/>
                <w:sz w:val="24"/>
                <w:szCs w:val="24"/>
              </w:rPr>
              <w:t xml:space="preserve"> </w:t>
            </w:r>
            <w:r w:rsidR="00D57F7F">
              <w:rPr>
                <w:rFonts w:ascii="Times New Roman CYR" w:hAnsi="Times New Roman CYR" w:cs="Times New Roman CYR"/>
                <w:sz w:val="24"/>
                <w:szCs w:val="24"/>
              </w:rPr>
              <w:t>–</w:t>
            </w:r>
            <w:r>
              <w:rPr>
                <w:rFonts w:ascii="Times New Roman CYR" w:hAnsi="Times New Roman CYR" w:cs="Times New Roman CYR"/>
                <w:sz w:val="24"/>
                <w:szCs w:val="24"/>
              </w:rPr>
              <w:t xml:space="preserve"> </w:t>
            </w:r>
            <w:r w:rsidR="00D57F7F">
              <w:rPr>
                <w:rFonts w:ascii="Times New Roman CYR" w:hAnsi="Times New Roman CYR" w:cs="Times New Roman CYR"/>
                <w:sz w:val="24"/>
                <w:szCs w:val="24"/>
              </w:rPr>
              <w:t xml:space="preserve">26,7 </w:t>
            </w:r>
            <w:r w:rsidR="00DE713D" w:rsidRPr="008D48C9">
              <w:rPr>
                <w:rFonts w:ascii="Times New Roman CYR" w:hAnsi="Times New Roman CYR" w:cs="Times New Roman CYR"/>
                <w:sz w:val="24"/>
                <w:szCs w:val="24"/>
              </w:rPr>
              <w:t>%</w:t>
            </w:r>
            <w:r w:rsidR="00CE5270">
              <w:rPr>
                <w:rFonts w:ascii="Times New Roman CYR" w:hAnsi="Times New Roman CYR" w:cs="Times New Roman CYR"/>
                <w:sz w:val="24"/>
                <w:szCs w:val="24"/>
              </w:rPr>
              <w:t>.</w:t>
            </w:r>
          </w:p>
          <w:p w14:paraId="19D5C6DD" w14:textId="671AAF92" w:rsidR="00DE713D" w:rsidRPr="00EE6686" w:rsidRDefault="004C31E5" w:rsidP="00B77B2C">
            <w:pPr>
              <w:widowControl w:val="0"/>
              <w:autoSpaceDE w:val="0"/>
              <w:autoSpaceDN w:val="0"/>
              <w:adjustRightInd w:val="0"/>
              <w:spacing w:before="40" w:after="40" w:line="240" w:lineRule="auto"/>
              <w:ind w:firstLine="384"/>
              <w:jc w:val="both"/>
              <w:rPr>
                <w:rFonts w:ascii="Times New Roman CYR" w:hAnsi="Times New Roman CYR" w:cs="Times New Roman CYR"/>
                <w:sz w:val="24"/>
                <w:szCs w:val="24"/>
              </w:rPr>
            </w:pPr>
            <w:r>
              <w:rPr>
                <w:rFonts w:ascii="Times New Roman CYR" w:hAnsi="Times New Roman CYR" w:cs="Times New Roman CYR"/>
                <w:sz w:val="24"/>
                <w:szCs w:val="24"/>
              </w:rPr>
              <w:t>З</w:t>
            </w:r>
            <w:r w:rsidR="00DE713D" w:rsidRPr="008D48C9">
              <w:rPr>
                <w:rFonts w:ascii="Times New Roman CYR" w:hAnsi="Times New Roman CYR" w:cs="Times New Roman CYR"/>
                <w:sz w:val="24"/>
                <w:szCs w:val="24"/>
              </w:rPr>
              <w:t xml:space="preserve">агальна кількість голосуючих акцій, кількість голосуючих акцій, що зареєстровані для участі у загальних зборах, кількість голосуючих акцій, що проголосували "за" та "проти" прийняття рішення (зазначається, якщо рішення приймається загальними зборами) </w:t>
            </w:r>
            <w:r w:rsidR="00EE6686">
              <w:rPr>
                <w:rFonts w:ascii="Times New Roman CYR" w:hAnsi="Times New Roman CYR" w:cs="Times New Roman CYR"/>
                <w:sz w:val="24"/>
                <w:szCs w:val="24"/>
              </w:rPr>
              <w:t>– рішення одноосібного акціонера з</w:t>
            </w:r>
            <w:r w:rsidR="00EE6686" w:rsidRPr="008D48C9">
              <w:rPr>
                <w:rFonts w:ascii="Times New Roman CYR" w:hAnsi="Times New Roman CYR" w:cs="Times New Roman CYR"/>
                <w:sz w:val="24"/>
                <w:szCs w:val="24"/>
              </w:rPr>
              <w:t xml:space="preserve"> кількіст</w:t>
            </w:r>
            <w:r w:rsidR="00EE6686">
              <w:rPr>
                <w:rFonts w:ascii="Times New Roman CYR" w:hAnsi="Times New Roman CYR" w:cs="Times New Roman CYR"/>
                <w:sz w:val="24"/>
                <w:szCs w:val="24"/>
              </w:rPr>
              <w:t>ю</w:t>
            </w:r>
            <w:r w:rsidR="00EE6686" w:rsidRPr="008D48C9">
              <w:rPr>
                <w:rFonts w:ascii="Times New Roman CYR" w:hAnsi="Times New Roman CYR" w:cs="Times New Roman CYR"/>
                <w:sz w:val="24"/>
                <w:szCs w:val="24"/>
              </w:rPr>
              <w:t xml:space="preserve"> голосуючих акцій</w:t>
            </w:r>
            <w:r w:rsidR="00B77B2C" w:rsidRPr="008D48C9">
              <w:rPr>
                <w:rFonts w:ascii="Times New Roman CYR" w:hAnsi="Times New Roman CYR" w:cs="Times New Roman CYR"/>
                <w:sz w:val="24"/>
                <w:szCs w:val="24"/>
              </w:rPr>
              <w:t>, що проголосували "за"</w:t>
            </w:r>
            <w:r w:rsidR="00EE6686">
              <w:rPr>
                <w:rFonts w:ascii="Times New Roman CYR" w:hAnsi="Times New Roman CYR" w:cs="Times New Roman CYR"/>
                <w:sz w:val="24"/>
                <w:szCs w:val="24"/>
              </w:rPr>
              <w:t xml:space="preserve"> </w:t>
            </w:r>
            <w:r w:rsidR="00EE6686" w:rsidRPr="00EE6686">
              <w:rPr>
                <w:rFonts w:ascii="Times New Roman CYR" w:hAnsi="Times New Roman CYR" w:cs="Times New Roman CYR"/>
                <w:sz w:val="24"/>
                <w:szCs w:val="24"/>
              </w:rPr>
              <w:t>6 494 611</w:t>
            </w:r>
            <w:r w:rsidR="00EE6686">
              <w:rPr>
                <w:rFonts w:ascii="Times New Roman CYR" w:hAnsi="Times New Roman CYR" w:cs="Times New Roman CYR"/>
                <w:sz w:val="24"/>
                <w:szCs w:val="24"/>
              </w:rPr>
              <w:t> </w:t>
            </w:r>
            <w:r w:rsidR="00EE6686" w:rsidRPr="00EE6686">
              <w:rPr>
                <w:rFonts w:ascii="Times New Roman CYR" w:hAnsi="Times New Roman CYR" w:cs="Times New Roman CYR"/>
                <w:sz w:val="24"/>
                <w:szCs w:val="24"/>
              </w:rPr>
              <w:t>600</w:t>
            </w:r>
            <w:r w:rsidR="00EE6686">
              <w:rPr>
                <w:rFonts w:ascii="Times New Roman CYR" w:hAnsi="Times New Roman CYR" w:cs="Times New Roman CYR"/>
                <w:sz w:val="24"/>
                <w:szCs w:val="24"/>
              </w:rPr>
              <w:t xml:space="preserve"> шт</w:t>
            </w:r>
            <w:r w:rsidR="00DE713D" w:rsidRPr="008D48C9">
              <w:rPr>
                <w:rFonts w:ascii="Times New Roman CYR" w:hAnsi="Times New Roman CYR" w:cs="Times New Roman CYR"/>
                <w:sz w:val="24"/>
                <w:szCs w:val="24"/>
              </w:rPr>
              <w:t>.</w:t>
            </w:r>
          </w:p>
          <w:p w14:paraId="4DF7B020" w14:textId="3E5FFC1F" w:rsidR="00000000" w:rsidRPr="00697934" w:rsidRDefault="004C31E5" w:rsidP="00B77B2C">
            <w:pPr>
              <w:widowControl w:val="0"/>
              <w:autoSpaceDE w:val="0"/>
              <w:autoSpaceDN w:val="0"/>
              <w:adjustRightInd w:val="0"/>
              <w:spacing w:before="40" w:after="40" w:line="240" w:lineRule="auto"/>
              <w:ind w:firstLine="384"/>
              <w:jc w:val="both"/>
              <w:rPr>
                <w:rFonts w:ascii="Times New Roman CYR" w:hAnsi="Times New Roman CYR" w:cs="Times New Roman CYR"/>
                <w:sz w:val="28"/>
                <w:szCs w:val="28"/>
              </w:rPr>
            </w:pPr>
            <w:r>
              <w:rPr>
                <w:rFonts w:ascii="Times New Roman CYR" w:hAnsi="Times New Roman CYR" w:cs="Times New Roman CYR"/>
                <w:sz w:val="24"/>
                <w:szCs w:val="24"/>
              </w:rPr>
              <w:t>Д</w:t>
            </w:r>
            <w:r w:rsidR="00DE713D" w:rsidRPr="008D48C9">
              <w:rPr>
                <w:rFonts w:ascii="Times New Roman CYR" w:hAnsi="Times New Roman CYR" w:cs="Times New Roman CYR"/>
                <w:sz w:val="24"/>
                <w:szCs w:val="24"/>
              </w:rPr>
              <w:t>одаткові критерії для віднесення правочину до значного правочину, не передбачені законодавством, якщо вони визначені статутом акціонерного товариства -</w:t>
            </w:r>
            <w:r w:rsidR="00B77B2C">
              <w:rPr>
                <w:rFonts w:ascii="Times New Roman CYR" w:hAnsi="Times New Roman CYR" w:cs="Times New Roman CYR"/>
                <w:sz w:val="24"/>
                <w:szCs w:val="24"/>
              </w:rPr>
              <w:t xml:space="preserve"> д</w:t>
            </w:r>
            <w:r w:rsidR="00B77B2C" w:rsidRPr="008D48C9">
              <w:rPr>
                <w:rFonts w:ascii="Times New Roman CYR" w:hAnsi="Times New Roman CYR" w:cs="Times New Roman CYR"/>
                <w:sz w:val="24"/>
                <w:szCs w:val="24"/>
              </w:rPr>
              <w:t>одаткові критерії</w:t>
            </w:r>
            <w:r w:rsidR="00B77B2C">
              <w:rPr>
                <w:rFonts w:ascii="Times New Roman CYR" w:hAnsi="Times New Roman CYR" w:cs="Times New Roman CYR"/>
                <w:sz w:val="24"/>
                <w:szCs w:val="24"/>
              </w:rPr>
              <w:t>, що визначені статутом відсутні</w:t>
            </w:r>
            <w:r w:rsidR="007C4A6E">
              <w:rPr>
                <w:rFonts w:ascii="Times New Roman CYR" w:hAnsi="Times New Roman CYR" w:cs="Times New Roman CYR"/>
                <w:sz w:val="24"/>
                <w:szCs w:val="24"/>
              </w:rPr>
              <w:t>.</w:t>
            </w:r>
          </w:p>
        </w:tc>
      </w:tr>
    </w:tbl>
    <w:p w14:paraId="7E1988C7" w14:textId="77777777" w:rsidR="00390067" w:rsidRDefault="00390067">
      <w:pPr>
        <w:widowControl w:val="0"/>
        <w:autoSpaceDE w:val="0"/>
        <w:autoSpaceDN w:val="0"/>
        <w:adjustRightInd w:val="0"/>
        <w:spacing w:after="0" w:line="240" w:lineRule="auto"/>
        <w:rPr>
          <w:rFonts w:ascii="Times New Roman CYR" w:hAnsi="Times New Roman CYR" w:cs="Times New Roman CYR"/>
          <w:sz w:val="20"/>
          <w:szCs w:val="20"/>
        </w:rPr>
      </w:pPr>
    </w:p>
    <w:sectPr w:rsidR="00390067">
      <w:pgSz w:w="12240" w:h="15840"/>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C60"/>
    <w:rsid w:val="00052DB9"/>
    <w:rsid w:val="000D520C"/>
    <w:rsid w:val="000E34ED"/>
    <w:rsid w:val="00253012"/>
    <w:rsid w:val="00273B2B"/>
    <w:rsid w:val="00280472"/>
    <w:rsid w:val="002D4BCD"/>
    <w:rsid w:val="003343F9"/>
    <w:rsid w:val="00390067"/>
    <w:rsid w:val="00395622"/>
    <w:rsid w:val="004911A8"/>
    <w:rsid w:val="004C31E5"/>
    <w:rsid w:val="004C634A"/>
    <w:rsid w:val="00530C60"/>
    <w:rsid w:val="00620C12"/>
    <w:rsid w:val="00697934"/>
    <w:rsid w:val="006A3F49"/>
    <w:rsid w:val="00727D5F"/>
    <w:rsid w:val="007C4A6E"/>
    <w:rsid w:val="007E083D"/>
    <w:rsid w:val="008D48C9"/>
    <w:rsid w:val="009B399C"/>
    <w:rsid w:val="00AC799C"/>
    <w:rsid w:val="00B77B2C"/>
    <w:rsid w:val="00CE5270"/>
    <w:rsid w:val="00D57F7F"/>
    <w:rsid w:val="00DC733B"/>
    <w:rsid w:val="00DE713D"/>
    <w:rsid w:val="00E54AE8"/>
    <w:rsid w:val="00EE66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0F3326"/>
  <w14:defaultImageDpi w14:val="0"/>
  <w15:docId w15:val="{E5B0E2EC-9801-48B8-A1CA-2A7259A4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3579</Words>
  <Characters>2041</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Баранова Тетяна Миколаївна</dc:creator>
  <cp:keywords/>
  <dc:description/>
  <cp:lastModifiedBy>Баранова Тетяна Миколаївна</cp:lastModifiedBy>
  <cp:revision>29</cp:revision>
  <cp:lastPrinted>2022-12-29T14:06:00Z</cp:lastPrinted>
  <dcterms:created xsi:type="dcterms:W3CDTF">2022-12-29T07:52:00Z</dcterms:created>
  <dcterms:modified xsi:type="dcterms:W3CDTF">2022-12-29T14:07:00Z</dcterms:modified>
</cp:coreProperties>
</file>